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83" w:rsidRDefault="005D4E83" w:rsidP="005D4E83">
      <w:pPr>
        <w:jc w:val="center"/>
        <w:rPr>
          <w:sz w:val="26"/>
          <w:szCs w:val="26"/>
          <w:lang w:val="ru-RU"/>
        </w:rPr>
      </w:pPr>
      <w:r>
        <w:rPr>
          <w:sz w:val="26"/>
          <w:szCs w:val="26"/>
          <w:lang w:val="ru-RU"/>
        </w:rPr>
        <w:t xml:space="preserve">Уважаемые </w:t>
      </w:r>
      <w:proofErr w:type="spellStart"/>
      <w:r>
        <w:rPr>
          <w:sz w:val="26"/>
          <w:szCs w:val="26"/>
          <w:lang w:val="ru-RU"/>
        </w:rPr>
        <w:t>Федоровчане</w:t>
      </w:r>
      <w:proofErr w:type="spellEnd"/>
      <w:r>
        <w:rPr>
          <w:sz w:val="26"/>
          <w:szCs w:val="26"/>
          <w:lang w:val="ru-RU"/>
        </w:rPr>
        <w:t>!</w:t>
      </w:r>
    </w:p>
    <w:p w:rsidR="005D4E83" w:rsidRDefault="005D4E83" w:rsidP="005D4E83">
      <w:pPr>
        <w:tabs>
          <w:tab w:val="left" w:pos="1905"/>
        </w:tabs>
        <w:rPr>
          <w:sz w:val="27"/>
          <w:szCs w:val="27"/>
          <w:lang w:val="ru-RU"/>
        </w:rPr>
      </w:pPr>
    </w:p>
    <w:p w:rsidR="005D4E83" w:rsidRDefault="005D4E83" w:rsidP="005D4E83">
      <w:pPr>
        <w:autoSpaceDE w:val="0"/>
        <w:autoSpaceDN w:val="0"/>
        <w:adjustRightInd w:val="0"/>
        <w:ind w:firstLine="709"/>
        <w:jc w:val="both"/>
        <w:rPr>
          <w:rFonts w:eastAsiaTheme="minorHAnsi"/>
          <w:sz w:val="26"/>
          <w:szCs w:val="26"/>
          <w:lang w:val="ru-RU" w:eastAsia="en-US"/>
        </w:rPr>
      </w:pPr>
      <w:r>
        <w:rPr>
          <w:sz w:val="26"/>
          <w:szCs w:val="26"/>
          <w:lang w:val="ru-RU"/>
        </w:rPr>
        <w:t>Согласно постановления Правительства Ханты-Мансийского автономного округа – Югры от 05 октября 2018 № 346-п «О государственной программе Ханты-Мансийского автономного округа – Югры «Развитие жилищной сферы»» граждане, имеющие трех и более детей, нуждающиеся в улучшении жилищных условий, поставленные до 02.04.2016 включительно в органе местного самоуправления на учет желающих бесплатно приобрести земельные участки для индивидуального жилищного строительства, вправе воспользоваться социальной выплатой на основании заявления, указанного в пункте 2 статьи 6.2 Закона автономного округа от 3 мая 2000 года № 26-оз «О регулировании отдельных земельных отношений в Ханты-Мансийском автономном округе – Югре», поданного и подписанного им либо его представителем по доверенности, отнесенный к одной из категорий, указанных в пункте 3 статьи 7.4 Закона автономного округа от 6 июля 2005 года № 57-оз «О регулировании отдельных жилищных отношений в Ханты-Мансийском автономном округе – Югре».</w:t>
      </w:r>
    </w:p>
    <w:p w:rsidR="005D4E83" w:rsidRDefault="005D4E83" w:rsidP="005D4E83">
      <w:pPr>
        <w:pStyle w:val="a4"/>
        <w:shd w:val="clear" w:color="auto" w:fill="FFFFFF"/>
        <w:spacing w:after="0"/>
        <w:ind w:firstLine="709"/>
        <w:jc w:val="both"/>
        <w:textAlignment w:val="top"/>
        <w:rPr>
          <w:color w:val="000000" w:themeColor="text1"/>
          <w:sz w:val="26"/>
          <w:szCs w:val="26"/>
        </w:rPr>
      </w:pPr>
      <w:r>
        <w:rPr>
          <w:color w:val="000000" w:themeColor="text1"/>
          <w:sz w:val="26"/>
          <w:szCs w:val="26"/>
        </w:rPr>
        <w:t xml:space="preserve">Социальная выплата предоставляется один раз по месту жительства граждан при условии отказа от получения земельного участка и может быть использована: </w:t>
      </w:r>
    </w:p>
    <w:p w:rsidR="005D4E83" w:rsidRDefault="005D4E83" w:rsidP="005D4E83">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оплату договора приобретения жилых помещений (квартир, индивидуальных жилых домов), заключенного в период действия свидетельства;</w:t>
      </w:r>
    </w:p>
    <w:p w:rsidR="005D4E83" w:rsidRDefault="005D4E83" w:rsidP="005D4E83">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первоначальный взнос при ипотечном кредитовании на приобретение квартиры, приобретение индивидуального жилого дома в период действия свидетельства;</w:t>
      </w:r>
    </w:p>
    <w:p w:rsidR="005D4E83" w:rsidRDefault="005D4E83" w:rsidP="005D4E83">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в период действия свидетельства, за исключением иных процентов, штрафо</w:t>
      </w:r>
      <w:bookmarkStart w:id="0" w:name="_GoBack"/>
      <w:bookmarkEnd w:id="0"/>
      <w:r>
        <w:rPr>
          <w:rFonts w:eastAsiaTheme="minorHAnsi"/>
          <w:sz w:val="26"/>
          <w:szCs w:val="26"/>
          <w:lang w:val="ru-RU" w:eastAsia="en-US"/>
        </w:rPr>
        <w:t>в, комиссий и пеней за просрочку исполнения обязательств по этим кредитам или займам (при этом заключение договора приобретения жилого помещения и государственная регистрация права собственности на жилое помещение должны быть осуществлены не ранее начала срока действия свидетельства, выданного гражданину уполномоченным органом);</w:t>
      </w:r>
    </w:p>
    <w:p w:rsidR="005D4E83" w:rsidRDefault="005D4E83" w:rsidP="005D4E83">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для погашения основной суммы долга и уплаты процентов по жилищным кредитам, в том числе ипотечным, или жилищным займам на приобретение квартиры, приобретение индивидуального жилого дома, полученным участником мероприятия и/или членами его семьи до вступления в силу порядка, за исключением иных процентов, штрафов, комиссий и пеней за просрочку исполнения обязательств по этим кредитам или займам;</w:t>
      </w:r>
    </w:p>
    <w:p w:rsidR="005D4E83" w:rsidRDefault="005D4E83" w:rsidP="005D4E83">
      <w:pPr>
        <w:autoSpaceDE w:val="0"/>
        <w:autoSpaceDN w:val="0"/>
        <w:adjustRightInd w:val="0"/>
        <w:ind w:firstLine="709"/>
        <w:jc w:val="both"/>
        <w:rPr>
          <w:rFonts w:eastAsiaTheme="minorHAnsi"/>
          <w:sz w:val="26"/>
          <w:szCs w:val="26"/>
          <w:lang w:val="ru-RU" w:eastAsia="en-US"/>
        </w:rPr>
      </w:pPr>
      <w:r>
        <w:rPr>
          <w:rFonts w:eastAsiaTheme="minorHAnsi"/>
          <w:sz w:val="26"/>
          <w:szCs w:val="26"/>
          <w:lang w:val="ru-RU" w:eastAsia="en-US"/>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(далее - кооператив), созданного и действующего в соответствии с Гражданским </w:t>
      </w:r>
      <w:hyperlink r:id="rId4" w:history="1">
        <w:r>
          <w:rPr>
            <w:rStyle w:val="a3"/>
            <w:rFonts w:eastAsiaTheme="minorHAnsi"/>
            <w:color w:val="auto"/>
            <w:sz w:val="26"/>
            <w:szCs w:val="26"/>
            <w:u w:val="none"/>
            <w:lang w:val="ru-RU" w:eastAsia="en-US"/>
          </w:rPr>
          <w:t>кодексом</w:t>
        </w:r>
      </w:hyperlink>
      <w:r>
        <w:rPr>
          <w:rFonts w:eastAsiaTheme="minorHAnsi"/>
          <w:sz w:val="26"/>
          <w:szCs w:val="26"/>
          <w:lang w:val="ru-RU" w:eastAsia="en-US"/>
        </w:rPr>
        <w:t xml:space="preserve"> Российской Федерации, Жилищным </w:t>
      </w:r>
      <w:hyperlink r:id="rId5" w:history="1">
        <w:r>
          <w:rPr>
            <w:rStyle w:val="a3"/>
            <w:rFonts w:eastAsiaTheme="minorHAnsi"/>
            <w:color w:val="auto"/>
            <w:sz w:val="26"/>
            <w:szCs w:val="26"/>
            <w:u w:val="none"/>
            <w:lang w:val="ru-RU" w:eastAsia="en-US"/>
          </w:rPr>
          <w:t>кодексом</w:t>
        </w:r>
      </w:hyperlink>
      <w:r>
        <w:rPr>
          <w:rFonts w:eastAsiaTheme="minorHAnsi"/>
          <w:sz w:val="26"/>
          <w:szCs w:val="26"/>
          <w:lang w:val="ru-RU" w:eastAsia="en-US"/>
        </w:rPr>
        <w:t xml:space="preserve"> Российской Федерации, Федеральным </w:t>
      </w:r>
      <w:hyperlink r:id="rId6" w:history="1">
        <w:r>
          <w:rPr>
            <w:rStyle w:val="a3"/>
            <w:rFonts w:eastAsiaTheme="minorHAnsi"/>
            <w:color w:val="auto"/>
            <w:sz w:val="26"/>
            <w:szCs w:val="26"/>
            <w:u w:val="none"/>
            <w:lang w:val="ru-RU" w:eastAsia="en-US"/>
          </w:rPr>
          <w:t>законом</w:t>
        </w:r>
      </w:hyperlink>
      <w:r>
        <w:rPr>
          <w:rFonts w:eastAsiaTheme="minorHAnsi"/>
          <w:sz w:val="26"/>
          <w:szCs w:val="26"/>
          <w:lang w:val="ru-RU" w:eastAsia="en-US"/>
        </w:rPr>
        <w:t xml:space="preserve"> "О содействии развитию жилищного строительства".</w:t>
      </w:r>
    </w:p>
    <w:p w:rsidR="005D4E83" w:rsidRDefault="005D4E83" w:rsidP="005D4E83">
      <w:pPr>
        <w:pStyle w:val="a4"/>
        <w:shd w:val="clear" w:color="auto" w:fill="FFFFFF"/>
        <w:spacing w:after="0"/>
        <w:ind w:firstLine="709"/>
        <w:jc w:val="both"/>
        <w:textAlignment w:val="top"/>
        <w:rPr>
          <w:color w:val="000000" w:themeColor="text1"/>
          <w:sz w:val="26"/>
          <w:szCs w:val="26"/>
        </w:rPr>
      </w:pPr>
      <w:r>
        <w:rPr>
          <w:sz w:val="26"/>
          <w:szCs w:val="26"/>
        </w:rPr>
        <w:t xml:space="preserve">Размер субсидии составляет 30% от стоимости жилья, рассчитываемой исходя </w:t>
      </w:r>
      <w:r>
        <w:rPr>
          <w:color w:val="000000" w:themeColor="text1"/>
          <w:sz w:val="26"/>
          <w:szCs w:val="26"/>
        </w:rPr>
        <w:t xml:space="preserve">из количества членов многодетной семьи (норматива 18 </w:t>
      </w:r>
      <w:proofErr w:type="spellStart"/>
      <w:r>
        <w:rPr>
          <w:color w:val="000000" w:themeColor="text1"/>
          <w:sz w:val="26"/>
          <w:szCs w:val="26"/>
        </w:rPr>
        <w:t>кв.м</w:t>
      </w:r>
      <w:proofErr w:type="spellEnd"/>
      <w:r>
        <w:rPr>
          <w:color w:val="000000" w:themeColor="text1"/>
          <w:sz w:val="26"/>
          <w:szCs w:val="26"/>
        </w:rPr>
        <w:t xml:space="preserve"> на каждого члена семьи), срока проживания в автономном округе и стоимости 1 </w:t>
      </w:r>
      <w:proofErr w:type="spellStart"/>
      <w:r>
        <w:rPr>
          <w:color w:val="000000" w:themeColor="text1"/>
          <w:sz w:val="26"/>
          <w:szCs w:val="26"/>
        </w:rPr>
        <w:t>кв.м</w:t>
      </w:r>
      <w:proofErr w:type="spellEnd"/>
      <w:r>
        <w:rPr>
          <w:color w:val="000000" w:themeColor="text1"/>
          <w:sz w:val="26"/>
          <w:szCs w:val="26"/>
        </w:rPr>
        <w:t> жилья, устанавливаемой для округа Минстроем России.</w:t>
      </w:r>
    </w:p>
    <w:p w:rsidR="005D4E83" w:rsidRDefault="005D4E83" w:rsidP="005D4E83">
      <w:pPr>
        <w:pStyle w:val="a4"/>
        <w:shd w:val="clear" w:color="auto" w:fill="FFFFFF"/>
        <w:spacing w:after="0"/>
        <w:ind w:firstLine="709"/>
        <w:jc w:val="both"/>
        <w:textAlignment w:val="top"/>
        <w:rPr>
          <w:color w:val="000000" w:themeColor="text1"/>
          <w:sz w:val="26"/>
          <w:szCs w:val="26"/>
        </w:rPr>
      </w:pPr>
      <w:r>
        <w:rPr>
          <w:color w:val="000000" w:themeColor="text1"/>
          <w:sz w:val="26"/>
          <w:szCs w:val="26"/>
        </w:rPr>
        <w:t xml:space="preserve">Средняя стоимость квадратного метра площади жилого помещения на </w:t>
      </w:r>
      <w:r>
        <w:rPr>
          <w:color w:val="000000" w:themeColor="text1"/>
          <w:sz w:val="26"/>
          <w:szCs w:val="26"/>
          <w:lang w:val="en-US"/>
        </w:rPr>
        <w:t>I</w:t>
      </w:r>
      <w:r>
        <w:rPr>
          <w:color w:val="000000" w:themeColor="text1"/>
          <w:sz w:val="26"/>
          <w:szCs w:val="26"/>
        </w:rPr>
        <w:t>I квартал 2020 – 52 501,00 руб. (максимальный размер социальной выплаты на семью из 5 человек составляет 1 417 527,00 руб.)</w:t>
      </w:r>
    </w:p>
    <w:p w:rsidR="005D4E83" w:rsidRDefault="005D4E83" w:rsidP="005D4E83">
      <w:pPr>
        <w:pStyle w:val="a4"/>
        <w:shd w:val="clear" w:color="auto" w:fill="FFFFFF"/>
        <w:spacing w:after="0"/>
        <w:ind w:firstLine="709"/>
        <w:jc w:val="both"/>
        <w:textAlignment w:val="top"/>
        <w:rPr>
          <w:sz w:val="26"/>
          <w:szCs w:val="26"/>
        </w:rPr>
      </w:pPr>
      <w:r>
        <w:rPr>
          <w:color w:val="000000" w:themeColor="text1"/>
          <w:sz w:val="26"/>
          <w:szCs w:val="26"/>
        </w:rPr>
        <w:lastRenderedPageBreak/>
        <w:t xml:space="preserve">При расчете размера социальной выплаты учитываются гражданско-правовые сделки, совершенные участником и членами его семьи по отчуждению жилых помещений за предыдущие 5 лет, а также учитывается получение участником и членами его семьи мер государственной поддержки на обеспечение жильем за счет бюджетных средств в рамках иных программ и направлений. </w:t>
      </w:r>
    </w:p>
    <w:p w:rsidR="005D4E83" w:rsidRDefault="005D4E83" w:rsidP="005D4E83">
      <w:pPr>
        <w:ind w:firstLine="709"/>
        <w:jc w:val="both"/>
        <w:rPr>
          <w:sz w:val="26"/>
          <w:szCs w:val="26"/>
          <w:lang w:val="ru-RU"/>
        </w:rPr>
      </w:pPr>
      <w:r>
        <w:rPr>
          <w:sz w:val="26"/>
          <w:szCs w:val="26"/>
          <w:lang w:val="ru-RU"/>
        </w:rPr>
        <w:t>С использованием социальной выплаты по порядку граждане должны приобрести одно или несколько жилых помещений в виде квартир, индивидуальных жилых домов,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w:t>
      </w:r>
    </w:p>
    <w:p w:rsidR="005D4E83" w:rsidRDefault="005D4E83" w:rsidP="005D4E83">
      <w:pPr>
        <w:ind w:firstLine="709"/>
        <w:jc w:val="both"/>
        <w:rPr>
          <w:sz w:val="26"/>
          <w:szCs w:val="26"/>
          <w:lang w:val="ru-RU"/>
        </w:rPr>
      </w:pPr>
      <w:r>
        <w:rPr>
          <w:sz w:val="26"/>
          <w:szCs w:val="26"/>
          <w:lang w:val="ru-RU"/>
        </w:rPr>
        <w:t>Не допускается использование социальной выплаты в соответствии с порядком на приобретение жилых помещений в домах капитального исполнения (панельных, кирпичных, монолитных, каркасных), срок эксплуатации которых на дату заключения договора приобретения жилого помещения превышает 15 лет с момента ввода их в эксплуатацию;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7 лет.</w:t>
      </w:r>
    </w:p>
    <w:p w:rsidR="005D4E83" w:rsidRDefault="005D4E83" w:rsidP="005D4E83">
      <w:pPr>
        <w:ind w:firstLine="709"/>
        <w:jc w:val="both"/>
        <w:rPr>
          <w:sz w:val="26"/>
          <w:szCs w:val="26"/>
          <w:lang w:val="ru-RU"/>
        </w:rPr>
      </w:pPr>
      <w:r>
        <w:rPr>
          <w:sz w:val="26"/>
          <w:szCs w:val="26"/>
          <w:lang w:val="ru-RU"/>
        </w:rPr>
        <w:t>Не допускается приобретение индивидуальных жилых домов, расположенных на дачных, огородных или садовых участках.</w:t>
      </w:r>
    </w:p>
    <w:p w:rsidR="005D4E83" w:rsidRDefault="005D4E83" w:rsidP="005D4E83">
      <w:pPr>
        <w:ind w:firstLine="709"/>
        <w:jc w:val="both"/>
        <w:rPr>
          <w:sz w:val="26"/>
          <w:szCs w:val="26"/>
          <w:lang w:val="ru-RU"/>
        </w:rPr>
      </w:pPr>
      <w:r>
        <w:rPr>
          <w:sz w:val="26"/>
          <w:szCs w:val="26"/>
          <w:lang w:val="ru-RU"/>
        </w:rPr>
        <w:t>Приобретаемое жилое помещение должно находиться на территории автономного округа.</w:t>
      </w:r>
    </w:p>
    <w:p w:rsidR="005D4E83" w:rsidRDefault="005D4E83" w:rsidP="005D4E83">
      <w:pPr>
        <w:ind w:firstLine="709"/>
        <w:jc w:val="both"/>
        <w:rPr>
          <w:sz w:val="26"/>
          <w:szCs w:val="26"/>
          <w:lang w:val="ru-RU"/>
        </w:rPr>
      </w:pPr>
      <w:r>
        <w:rPr>
          <w:sz w:val="26"/>
          <w:szCs w:val="26"/>
          <w:lang w:val="ru-RU"/>
        </w:rPr>
        <w:t>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 нотариально заверенное обязательство).</w:t>
      </w:r>
    </w:p>
    <w:p w:rsidR="005D4E83" w:rsidRDefault="005D4E83" w:rsidP="005D4E83">
      <w:pPr>
        <w:ind w:firstLine="709"/>
        <w:jc w:val="both"/>
        <w:rPr>
          <w:sz w:val="26"/>
          <w:szCs w:val="26"/>
          <w:lang w:val="ru-RU"/>
        </w:rPr>
      </w:pPr>
      <w:r>
        <w:rPr>
          <w:sz w:val="26"/>
          <w:szCs w:val="26"/>
          <w:lang w:val="ru-RU"/>
        </w:rPr>
        <w:t>Кроме того, граждане, имеющие трех и более детей, являющиеся участниками подпрограммы «Обеспечение мерами государственной поддержки по улучшению жилищный условий отдельных категорий граждан» воспользовавшийся мерами государственной поддержки на улучшение жилищных условий за счет средств бюджетной системы Российской Федерации, по условиям окружной программы, на состав семьи 4 и более человек, вправе воспользоваться социальной выплатой в соответствии с постановлением администрации Сургутского района от 25.10.2016 № 3678-нпа «Об утверждении порядков работы с гражданами-участниками муниципальной программы «Обеспечение доступным и комфортным жильем жителей Сургутского района».</w:t>
      </w:r>
    </w:p>
    <w:p w:rsidR="005D4E83" w:rsidRDefault="005D4E83" w:rsidP="005D4E83">
      <w:pPr>
        <w:ind w:firstLine="709"/>
        <w:jc w:val="both"/>
        <w:rPr>
          <w:sz w:val="26"/>
          <w:szCs w:val="26"/>
          <w:lang w:val="ru-RU"/>
        </w:rPr>
      </w:pPr>
      <w:r>
        <w:rPr>
          <w:sz w:val="26"/>
          <w:szCs w:val="26"/>
          <w:lang w:val="ru-RU"/>
        </w:rPr>
        <w:t xml:space="preserve">Социальная выплата носит целевой характер и может быть использована на следующие цели: </w:t>
      </w:r>
    </w:p>
    <w:p w:rsidR="005D4E83" w:rsidRDefault="005D4E83" w:rsidP="005D4E83">
      <w:pPr>
        <w:ind w:firstLine="709"/>
        <w:jc w:val="both"/>
        <w:rPr>
          <w:sz w:val="26"/>
          <w:szCs w:val="26"/>
          <w:lang w:val="ru-RU"/>
        </w:rPr>
      </w:pPr>
      <w:r>
        <w:rPr>
          <w:sz w:val="26"/>
          <w:szCs w:val="26"/>
          <w:lang w:val="ru-RU"/>
        </w:rPr>
        <w:t>- оплату договора приобретения жилого помещения (комнат(ы), квартиры, индивидуального жилого дома);</w:t>
      </w:r>
    </w:p>
    <w:p w:rsidR="005D4E83" w:rsidRDefault="005D4E83" w:rsidP="005D4E83">
      <w:pPr>
        <w:ind w:firstLine="709"/>
        <w:jc w:val="both"/>
        <w:rPr>
          <w:sz w:val="26"/>
          <w:szCs w:val="26"/>
          <w:lang w:val="ru-RU"/>
        </w:rPr>
      </w:pPr>
      <w:r>
        <w:rPr>
          <w:sz w:val="26"/>
          <w:szCs w:val="26"/>
          <w:lang w:val="ru-RU"/>
        </w:rPr>
        <w:t>- финансирование строительства жилых помещений по договору участия в долевом строительстве жилья;</w:t>
      </w:r>
    </w:p>
    <w:p w:rsidR="005D4E83" w:rsidRDefault="005D4E83" w:rsidP="005D4E83">
      <w:pPr>
        <w:ind w:firstLine="709"/>
        <w:jc w:val="both"/>
        <w:rPr>
          <w:sz w:val="26"/>
          <w:szCs w:val="26"/>
          <w:lang w:val="ru-RU"/>
        </w:rPr>
      </w:pPr>
      <w:r>
        <w:rPr>
          <w:sz w:val="26"/>
          <w:szCs w:val="26"/>
          <w:lang w:val="ru-RU"/>
        </w:rPr>
        <w:t xml:space="preserve">- первоначальный взнос при ипотечном кредитовании на приобретение (строительство) квартиры (комнаты), приобретение индивидуального жилого дома, за </w:t>
      </w:r>
      <w:r>
        <w:rPr>
          <w:sz w:val="26"/>
          <w:szCs w:val="26"/>
          <w:lang w:val="ru-RU"/>
        </w:rPr>
        <w:lastRenderedPageBreak/>
        <w:t>исключением иных процентов, штрафов, комиссий и пеней за просрочку исполнения обязательств по этим кредитам и займам;</w:t>
      </w:r>
    </w:p>
    <w:p w:rsidR="005D4E83" w:rsidRDefault="005D4E83" w:rsidP="005D4E83">
      <w:pPr>
        <w:ind w:firstLine="709"/>
        <w:jc w:val="both"/>
        <w:rPr>
          <w:sz w:val="26"/>
          <w:szCs w:val="26"/>
          <w:lang w:val="ru-RU"/>
        </w:rPr>
      </w:pPr>
      <w:r>
        <w:rPr>
          <w:sz w:val="26"/>
          <w:szCs w:val="26"/>
          <w:lang w:val="ru-RU"/>
        </w:rPr>
        <w:t xml:space="preserve">- для осуществления последнего платежа в счет уплаты паевого взноса в полном размере, после уплаты которого жилое помещение переходит в собственность участника мероприятия и членов его семьи, в случае, если участник мероприятия и/или один из супругов является членом жилищно-строительного кооператива, созданного и действующего в соответствии с Гражданским кодексом Российской Федерации, жилищным кодексом Российской Федерации, Федеральным законом «О </w:t>
      </w:r>
      <w:proofErr w:type="gramStart"/>
      <w:r>
        <w:rPr>
          <w:sz w:val="26"/>
          <w:szCs w:val="26"/>
          <w:lang w:val="ru-RU"/>
        </w:rPr>
        <w:t>содействии  развитию</w:t>
      </w:r>
      <w:proofErr w:type="gramEnd"/>
      <w:r>
        <w:rPr>
          <w:sz w:val="26"/>
          <w:szCs w:val="26"/>
          <w:lang w:val="ru-RU"/>
        </w:rPr>
        <w:t xml:space="preserve"> жилищного строительства»;</w:t>
      </w:r>
    </w:p>
    <w:p w:rsidR="005D4E83" w:rsidRDefault="005D4E83" w:rsidP="005D4E83">
      <w:pPr>
        <w:ind w:firstLine="709"/>
        <w:jc w:val="both"/>
        <w:rPr>
          <w:sz w:val="26"/>
          <w:szCs w:val="26"/>
          <w:lang w:val="ru-RU"/>
        </w:rPr>
      </w:pPr>
      <w:r>
        <w:rPr>
          <w:sz w:val="26"/>
          <w:szCs w:val="26"/>
          <w:lang w:val="ru-RU"/>
        </w:rPr>
        <w:t>- оплату приобретения земельного участка для индивидуального жилищного строительства.</w:t>
      </w:r>
    </w:p>
    <w:p w:rsidR="005D4E83" w:rsidRDefault="005D4E83" w:rsidP="005D4E83">
      <w:pPr>
        <w:ind w:firstLine="709"/>
        <w:jc w:val="both"/>
        <w:rPr>
          <w:sz w:val="26"/>
          <w:szCs w:val="26"/>
          <w:lang w:val="ru-RU"/>
        </w:rPr>
      </w:pPr>
      <w:r>
        <w:rPr>
          <w:sz w:val="26"/>
          <w:szCs w:val="26"/>
          <w:lang w:val="ru-RU"/>
        </w:rPr>
        <w:t>Размер социальной выплаты составляет 300 000,00 рублей.</w:t>
      </w:r>
    </w:p>
    <w:p w:rsidR="005D4E83" w:rsidRDefault="005D4E83" w:rsidP="005D4E83">
      <w:pPr>
        <w:ind w:firstLine="709"/>
        <w:jc w:val="both"/>
        <w:rPr>
          <w:sz w:val="26"/>
          <w:szCs w:val="26"/>
          <w:lang w:val="ru-RU"/>
        </w:rPr>
      </w:pPr>
      <w:r>
        <w:rPr>
          <w:sz w:val="26"/>
          <w:szCs w:val="26"/>
          <w:lang w:val="ru-RU"/>
        </w:rPr>
        <w:t>Приобретаемое жилое помещение, в отличии от условий мероприятия окружной программы, может находится на территории Российской Федерации.</w:t>
      </w:r>
    </w:p>
    <w:p w:rsidR="005D4E83" w:rsidRDefault="005D4E83" w:rsidP="005D4E83">
      <w:pPr>
        <w:ind w:firstLine="709"/>
        <w:jc w:val="both"/>
        <w:rPr>
          <w:sz w:val="26"/>
          <w:szCs w:val="26"/>
          <w:lang w:val="ru-RU"/>
        </w:rPr>
      </w:pPr>
      <w:r>
        <w:rPr>
          <w:sz w:val="26"/>
          <w:szCs w:val="26"/>
          <w:lang w:val="ru-RU"/>
        </w:rPr>
        <w:t xml:space="preserve">Социальная выплата не может быть использована на приобретение жилого помещения, земельного участка у близких родственников, супруга (супруги). </w:t>
      </w:r>
    </w:p>
    <w:p w:rsidR="005D4E83" w:rsidRDefault="005D4E83" w:rsidP="005D4E83">
      <w:pPr>
        <w:ind w:firstLine="709"/>
        <w:jc w:val="both"/>
        <w:rPr>
          <w:sz w:val="26"/>
          <w:szCs w:val="26"/>
          <w:lang w:val="ru-RU"/>
        </w:rPr>
      </w:pPr>
      <w:r>
        <w:rPr>
          <w:sz w:val="26"/>
          <w:szCs w:val="26"/>
          <w:lang w:val="ru-RU"/>
        </w:rPr>
        <w:t>Приобретаемое жилое помещение оформляется в долевую собственность всех членов семьи участника мероприятия. Допускается оформление приобретенного жилого помещения в собственность одного из супругов или обоих супругов либо единственного родителя в семье, а также иных членов семьи участника мероприятия. При этом участник мероприятия представляет нотариально заверенное обязательство переоформить приобретенное с использованием социальной выплаты жилое помещение в долевую собственность на состав семьи, указанный в решении о признании участником мероприятия, в течение 6 месяцев после снятия обременения с жилого помещения (далее - нотариально заверенное обязательство).</w:t>
      </w:r>
    </w:p>
    <w:p w:rsidR="005D4E83" w:rsidRDefault="005D4E83" w:rsidP="005D4E83">
      <w:pPr>
        <w:ind w:firstLine="709"/>
        <w:jc w:val="both"/>
        <w:rPr>
          <w:sz w:val="26"/>
          <w:szCs w:val="26"/>
          <w:lang w:val="ru-RU"/>
        </w:rPr>
      </w:pPr>
      <w:r>
        <w:rPr>
          <w:sz w:val="26"/>
          <w:szCs w:val="26"/>
          <w:lang w:val="ru-RU"/>
        </w:rPr>
        <w:t xml:space="preserve">С целью получения социальных выплат граждане могут обратиться в департамент управления муниципальным имуществом и жилищной политики администрации Сургутского района (г. Сургут, ул. Энгельса, 10, </w:t>
      </w:r>
      <w:proofErr w:type="spellStart"/>
      <w:r>
        <w:rPr>
          <w:sz w:val="26"/>
          <w:szCs w:val="26"/>
          <w:lang w:val="ru-RU"/>
        </w:rPr>
        <w:t>каб</w:t>
      </w:r>
      <w:proofErr w:type="spellEnd"/>
      <w:r>
        <w:rPr>
          <w:sz w:val="26"/>
          <w:szCs w:val="26"/>
          <w:lang w:val="ru-RU"/>
        </w:rPr>
        <w:t>. 126, тел. 526-597) с заявлением в соответствии с порядком.</w:t>
      </w:r>
    </w:p>
    <w:p w:rsidR="003E2A51" w:rsidRDefault="003E2A51"/>
    <w:sectPr w:rsidR="003E2A51" w:rsidSect="005D4E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19"/>
    <w:rsid w:val="003E2A51"/>
    <w:rsid w:val="005D4E83"/>
    <w:rsid w:val="00B5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209D7-AE1E-4D6E-940D-F0400912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8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4E83"/>
    <w:rPr>
      <w:color w:val="0563C1" w:themeColor="hyperlink"/>
      <w:u w:val="single"/>
    </w:rPr>
  </w:style>
  <w:style w:type="paragraph" w:styleId="a4">
    <w:name w:val="Normal (Web)"/>
    <w:basedOn w:val="a"/>
    <w:uiPriority w:val="99"/>
    <w:semiHidden/>
    <w:unhideWhenUsed/>
    <w:rsid w:val="005D4E83"/>
    <w:pPr>
      <w:spacing w:after="150"/>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8F2F6D3AE2DD3C4487DCAD662476D04A8991131AE2F3B57F089AF0BE6E27D191100DEE12BAF7D0DF681EFC39B9Y7H" TargetMode="External"/><Relationship Id="rId5" Type="http://schemas.openxmlformats.org/officeDocument/2006/relationships/hyperlink" Target="consultantplus://offline/ref=378F2F6D3AE2DD3C4487DCAD662476D04A89931219E2F3B57F089AF0BE6E27D191100DEE12BAF7D0DF681EFC39B9Y7H" TargetMode="External"/><Relationship Id="rId4" Type="http://schemas.openxmlformats.org/officeDocument/2006/relationships/hyperlink" Target="consultantplus://offline/ref=378F2F6D3AE2DD3C4487DCAD662476D04A8890121DE7F3B57F089AF0BE6E27D191100DEE12BAF7D0DF681EFC39B9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Кононова</dc:creator>
  <cp:keywords/>
  <dc:description/>
  <cp:lastModifiedBy>Алена Кононова</cp:lastModifiedBy>
  <cp:revision>3</cp:revision>
  <dcterms:created xsi:type="dcterms:W3CDTF">2020-06-25T06:55:00Z</dcterms:created>
  <dcterms:modified xsi:type="dcterms:W3CDTF">2020-06-25T06:56:00Z</dcterms:modified>
</cp:coreProperties>
</file>